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2023年平阳县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保障性住房建设投资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公开招聘专业要求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平阳县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保障性住房建设投资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有限公司面向社会公开招聘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编外人员（劳务派遣）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招聘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一、工程管理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建筑学、土木工程、建筑工程、工业与民用建筑、房屋建筑工程、给水排水工程、结构工程、土木建筑工程；城镇建设、城镇建设与管理、工程力学、工程造价、给排水、给排水工程技术、环境工程、环境工程（给水排水工程）、建筑环境与设备工程、建筑工程技术、建筑工程管理、建筑施工管理、建筑工程与管理、房屋建筑；建筑设计、建筑工程设计、建筑设计技术、建筑装饰工程技术、建筑电气与智能化、工程管理；建筑经济与管理、建筑经济管理、建筑经济管理（工程造价）、土木工程建筑经济管理；建设基础工程、城市建设工程管理、房屋工程建设、工程建筑管理、建筑；市政工程、市政工程技术、市政工程施工与管理、土木、土木工程施工技术与管理、土木工程施工与管理；建筑装饰、民用建筑与装饰、建筑装饰技术、建筑装饰技术工程、景观建筑、景观建筑设计；土木建筑（建筑工程）、土木工程（工民建方向）、土木工程（房建方向）、土木工程（工程管理）、土木工程（工业与民用建筑）、土木工程（工程项目管理）、土木工程建筑工程方向、土木工程工程造价方向等。</w:t>
      </w:r>
    </w:p>
    <w:p>
      <w:pPr>
        <w:pStyle w:val="4"/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21" w:right="1304" w:bottom="1701" w:left="1644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Y4MmUxNjkwNWI0NDAxNzEyNDE2YTU1MWMyOGEifQ=="/>
  </w:docVars>
  <w:rsids>
    <w:rsidRoot w:val="7A240C77"/>
    <w:rsid w:val="1AB51A1B"/>
    <w:rsid w:val="5D1C2D62"/>
    <w:rsid w:val="7A2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655</Characters>
  <Lines>0</Lines>
  <Paragraphs>0</Paragraphs>
  <TotalTime>0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2023-11-06T08:40:00Z</dcterms:created>
  <dc:creator>admin</dc:creator>
  <cp:lastModifiedBy>郑航</cp:lastModifiedBy>
  <dcterms:modified xsi:type="dcterms:W3CDTF">2023-11-20T03:46:24Z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A85BCEB43BAF466D86499B8F5267DE48_13</vt:lpwstr>
  </property>
</Properties>
</file>